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857C" w14:textId="77777777" w:rsidR="001E1992" w:rsidRDefault="001E1992" w:rsidP="004C13D3"/>
    <w:p w14:paraId="52D9C25C" w14:textId="581BD040" w:rsidR="001E1992" w:rsidRDefault="001452A1" w:rsidP="0040118D">
      <w:pPr>
        <w:jc w:val="center"/>
      </w:pPr>
      <w:r>
        <w:rPr>
          <w:noProof/>
          <w:lang w:eastAsia="en-GB"/>
        </w:rPr>
        <w:drawing>
          <wp:inline distT="0" distB="0" distL="0" distR="0" wp14:anchorId="3E1116E5" wp14:editId="37016453">
            <wp:extent cx="1264696" cy="12298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313" cy="1246997"/>
                    </a:xfrm>
                    <a:prstGeom prst="rect">
                      <a:avLst/>
                    </a:prstGeom>
                  </pic:spPr>
                </pic:pic>
              </a:graphicData>
            </a:graphic>
          </wp:inline>
        </w:drawing>
      </w:r>
    </w:p>
    <w:p w14:paraId="73D7F8F4" w14:textId="77777777" w:rsidR="00950900" w:rsidRDefault="00950900" w:rsidP="00950900">
      <w:pPr>
        <w:jc w:val="center"/>
        <w:rPr>
          <w:rFonts w:ascii="Arial" w:hAnsi="Arial"/>
          <w:sz w:val="24"/>
          <w:szCs w:val="24"/>
        </w:rPr>
      </w:pPr>
    </w:p>
    <w:p w14:paraId="3F768B8C" w14:textId="41D44AB5" w:rsidR="00950900" w:rsidRPr="00950900" w:rsidRDefault="00950900" w:rsidP="00950900">
      <w:pPr>
        <w:jc w:val="center"/>
        <w:rPr>
          <w:rFonts w:ascii="Arial" w:hAnsi="Arial"/>
          <w:b/>
          <w:sz w:val="24"/>
          <w:szCs w:val="24"/>
        </w:rPr>
      </w:pPr>
      <w:r w:rsidRPr="00950900">
        <w:rPr>
          <w:rFonts w:ascii="Arial" w:hAnsi="Arial"/>
          <w:b/>
          <w:sz w:val="24"/>
          <w:szCs w:val="24"/>
        </w:rPr>
        <w:t>D Shopping Malls Finance PLC</w:t>
      </w:r>
    </w:p>
    <w:p w14:paraId="6CE900B4" w14:textId="5B4ED553" w:rsidR="00950900" w:rsidRPr="00B90E13" w:rsidRDefault="00950900" w:rsidP="009C09D6">
      <w:pPr>
        <w:jc w:val="center"/>
        <w:rPr>
          <w:rFonts w:ascii="Arial" w:hAnsi="Arial"/>
          <w:sz w:val="24"/>
          <w:szCs w:val="24"/>
        </w:rPr>
      </w:pPr>
      <w:r w:rsidRPr="00B90E13">
        <w:rPr>
          <w:rFonts w:ascii="Arial" w:hAnsi="Arial"/>
          <w:sz w:val="24"/>
          <w:szCs w:val="24"/>
        </w:rPr>
        <w:t>Dizz Building</w:t>
      </w:r>
      <w:r w:rsidR="009C09D6">
        <w:rPr>
          <w:rFonts w:ascii="Arial" w:hAnsi="Arial"/>
          <w:sz w:val="24"/>
          <w:szCs w:val="24"/>
        </w:rPr>
        <w:t xml:space="preserve">, </w:t>
      </w:r>
      <w:r w:rsidRPr="00B90E13">
        <w:rPr>
          <w:rFonts w:ascii="Arial" w:hAnsi="Arial"/>
          <w:sz w:val="24"/>
          <w:szCs w:val="24"/>
        </w:rPr>
        <w:t>Carob St</w:t>
      </w:r>
      <w:r w:rsidR="00490C4A">
        <w:rPr>
          <w:rFonts w:ascii="Arial" w:hAnsi="Arial"/>
          <w:sz w:val="24"/>
          <w:szCs w:val="24"/>
        </w:rPr>
        <w:t>r</w:t>
      </w:r>
      <w:r w:rsidRPr="00B90E13">
        <w:rPr>
          <w:rFonts w:ascii="Arial" w:hAnsi="Arial"/>
          <w:sz w:val="24"/>
          <w:szCs w:val="24"/>
        </w:rPr>
        <w:t>eet, St. Venera SVR 700</w:t>
      </w:r>
    </w:p>
    <w:p w14:paraId="41CCD939" w14:textId="77777777" w:rsidR="00950900" w:rsidRPr="00B90E13" w:rsidRDefault="00950900" w:rsidP="00950900">
      <w:pPr>
        <w:jc w:val="center"/>
        <w:rPr>
          <w:rFonts w:ascii="Arial" w:hAnsi="Arial"/>
          <w:sz w:val="24"/>
          <w:szCs w:val="24"/>
        </w:rPr>
      </w:pPr>
      <w:r w:rsidRPr="00B90E13">
        <w:rPr>
          <w:rFonts w:ascii="Arial" w:hAnsi="Arial"/>
          <w:sz w:val="24"/>
          <w:szCs w:val="24"/>
        </w:rPr>
        <w:t>Tel: 21225589 Fax: 21443681</w:t>
      </w:r>
    </w:p>
    <w:p w14:paraId="6AB645D5" w14:textId="355D6138" w:rsidR="00950900" w:rsidRPr="006E5FC3" w:rsidRDefault="00950900" w:rsidP="00950900">
      <w:pPr>
        <w:jc w:val="center"/>
        <w:rPr>
          <w:rFonts w:ascii="Arial" w:hAnsi="Arial"/>
          <w:sz w:val="24"/>
          <w:szCs w:val="24"/>
        </w:rPr>
      </w:pPr>
      <w:r w:rsidRPr="006E5FC3">
        <w:rPr>
          <w:rFonts w:ascii="Arial" w:hAnsi="Arial"/>
          <w:sz w:val="24"/>
          <w:szCs w:val="24"/>
        </w:rPr>
        <w:t>Co. Reg. No. C</w:t>
      </w:r>
      <w:r>
        <w:rPr>
          <w:rFonts w:ascii="Arial" w:hAnsi="Arial"/>
          <w:sz w:val="24"/>
          <w:szCs w:val="24"/>
        </w:rPr>
        <w:t xml:space="preserve"> 87809</w:t>
      </w:r>
    </w:p>
    <w:p w14:paraId="6DA1EC52" w14:textId="77777777" w:rsidR="00950900" w:rsidRPr="006E5FC3" w:rsidRDefault="00950900" w:rsidP="00950900">
      <w:pPr>
        <w:jc w:val="center"/>
        <w:rPr>
          <w:rFonts w:ascii="Arial" w:hAnsi="Arial"/>
          <w:sz w:val="24"/>
          <w:szCs w:val="24"/>
        </w:rPr>
      </w:pPr>
      <w:r w:rsidRPr="006E5FC3">
        <w:rPr>
          <w:rFonts w:ascii="Arial" w:hAnsi="Arial"/>
          <w:sz w:val="24"/>
          <w:szCs w:val="24"/>
        </w:rPr>
        <w:t>The “</w:t>
      </w:r>
      <w:r w:rsidRPr="006E5FC3">
        <w:rPr>
          <w:rFonts w:ascii="Arial" w:hAnsi="Arial"/>
          <w:b/>
          <w:sz w:val="24"/>
          <w:szCs w:val="24"/>
        </w:rPr>
        <w:t>Company</w:t>
      </w:r>
      <w:r w:rsidRPr="006E5FC3">
        <w:rPr>
          <w:rFonts w:ascii="Arial" w:hAnsi="Arial"/>
          <w:sz w:val="24"/>
          <w:szCs w:val="24"/>
        </w:rPr>
        <w:t>”</w:t>
      </w:r>
    </w:p>
    <w:p w14:paraId="77F3EDDD" w14:textId="77777777" w:rsidR="00950900" w:rsidRPr="006E5FC3" w:rsidRDefault="00950900" w:rsidP="00950900">
      <w:pPr>
        <w:pBdr>
          <w:bottom w:val="single" w:sz="4" w:space="1" w:color="auto"/>
        </w:pBdr>
        <w:jc w:val="center"/>
        <w:rPr>
          <w:rFonts w:ascii="Arial" w:hAnsi="Arial"/>
          <w:sz w:val="24"/>
          <w:szCs w:val="24"/>
        </w:rPr>
      </w:pPr>
    </w:p>
    <w:p w14:paraId="091FDCB4" w14:textId="69D0DE47" w:rsidR="00D56838" w:rsidRPr="006E5FC3" w:rsidRDefault="00D56838" w:rsidP="00D56838">
      <w:pPr>
        <w:pBdr>
          <w:bottom w:val="single" w:sz="4" w:space="1" w:color="auto"/>
        </w:pBdr>
        <w:jc w:val="center"/>
        <w:rPr>
          <w:rFonts w:ascii="Arial" w:hAnsi="Arial"/>
          <w:b/>
          <w:color w:val="27163F" w:themeColor="accent1" w:themeShade="80"/>
          <w:sz w:val="24"/>
          <w:szCs w:val="24"/>
        </w:rPr>
      </w:pPr>
      <w:r>
        <w:rPr>
          <w:rFonts w:ascii="Arial" w:hAnsi="Arial"/>
          <w:b/>
          <w:color w:val="222222"/>
          <w:sz w:val="24"/>
          <w:szCs w:val="19"/>
          <w:shd w:val="clear" w:color="auto" w:fill="FFFFFF"/>
          <w:lang w:val="en-US"/>
        </w:rPr>
        <w:t xml:space="preserve">COVID19 Update – Re-opening of </w:t>
      </w:r>
      <w:r w:rsidR="000F4B67">
        <w:rPr>
          <w:rFonts w:ascii="Arial" w:hAnsi="Arial"/>
          <w:b/>
          <w:color w:val="222222"/>
          <w:sz w:val="24"/>
          <w:szCs w:val="19"/>
          <w:shd w:val="clear" w:color="auto" w:fill="FFFFFF"/>
          <w:lang w:val="en-US"/>
        </w:rPr>
        <w:t>The Point and Centre Parc Outlets</w:t>
      </w:r>
    </w:p>
    <w:p w14:paraId="66CD7674" w14:textId="77777777" w:rsidR="00950900" w:rsidRPr="006E5FC3" w:rsidRDefault="00950900" w:rsidP="00950900">
      <w:pPr>
        <w:pBdr>
          <w:bottom w:val="single" w:sz="4" w:space="1" w:color="auto"/>
        </w:pBdr>
        <w:jc w:val="center"/>
        <w:rPr>
          <w:rFonts w:ascii="Arial" w:hAnsi="Arial"/>
          <w:b/>
          <w:color w:val="27163F" w:themeColor="accent1" w:themeShade="80"/>
          <w:sz w:val="24"/>
          <w:szCs w:val="24"/>
        </w:rPr>
      </w:pPr>
    </w:p>
    <w:p w14:paraId="73463207" w14:textId="77777777" w:rsidR="00950900" w:rsidRPr="006E5FC3" w:rsidRDefault="00950900" w:rsidP="00950900">
      <w:pPr>
        <w:pBdr>
          <w:bottom w:val="single" w:sz="6" w:space="1" w:color="auto"/>
        </w:pBdr>
        <w:tabs>
          <w:tab w:val="right" w:pos="8931"/>
        </w:tabs>
        <w:jc w:val="both"/>
        <w:rPr>
          <w:rFonts w:ascii="Arial" w:hAnsi="Arial"/>
          <w:sz w:val="24"/>
          <w:szCs w:val="24"/>
        </w:rPr>
      </w:pPr>
    </w:p>
    <w:p w14:paraId="66FA3A57" w14:textId="7C69DEA0" w:rsidR="00950900" w:rsidRPr="00044FC3" w:rsidRDefault="00950900" w:rsidP="00950900">
      <w:pPr>
        <w:pBdr>
          <w:bottom w:val="single" w:sz="6" w:space="1" w:color="auto"/>
        </w:pBdr>
        <w:tabs>
          <w:tab w:val="right" w:pos="8931"/>
        </w:tabs>
        <w:jc w:val="both"/>
        <w:rPr>
          <w:rFonts w:ascii="Arial" w:hAnsi="Arial"/>
          <w:sz w:val="24"/>
          <w:szCs w:val="24"/>
        </w:rPr>
      </w:pPr>
      <w:r w:rsidRPr="00044FC3">
        <w:rPr>
          <w:rFonts w:ascii="Arial" w:hAnsi="Arial"/>
          <w:sz w:val="24"/>
          <w:szCs w:val="24"/>
        </w:rPr>
        <w:t>Date of Announcement</w:t>
      </w:r>
      <w:r w:rsidRPr="00044FC3">
        <w:rPr>
          <w:rFonts w:ascii="Arial" w:hAnsi="Arial"/>
          <w:sz w:val="24"/>
          <w:szCs w:val="24"/>
        </w:rPr>
        <w:tab/>
      </w:r>
      <w:r w:rsidR="00EF21A4">
        <w:rPr>
          <w:rFonts w:ascii="Arial" w:hAnsi="Arial"/>
          <w:sz w:val="24"/>
          <w:szCs w:val="24"/>
        </w:rPr>
        <w:t xml:space="preserve">  </w:t>
      </w:r>
      <w:r w:rsidR="00025C28">
        <w:rPr>
          <w:rFonts w:ascii="Arial" w:hAnsi="Arial"/>
          <w:sz w:val="24"/>
          <w:szCs w:val="24"/>
        </w:rPr>
        <w:t xml:space="preserve">  </w:t>
      </w:r>
      <w:r w:rsidR="00C320B8">
        <w:rPr>
          <w:rFonts w:ascii="Arial" w:hAnsi="Arial"/>
          <w:sz w:val="24"/>
          <w:szCs w:val="24"/>
        </w:rPr>
        <w:t>8</w:t>
      </w:r>
      <w:r w:rsidR="00D56838" w:rsidRPr="00D56838">
        <w:rPr>
          <w:rFonts w:ascii="Arial" w:hAnsi="Arial"/>
          <w:sz w:val="24"/>
          <w:szCs w:val="24"/>
          <w:vertAlign w:val="superscript"/>
        </w:rPr>
        <w:t>th</w:t>
      </w:r>
      <w:r w:rsidR="00D56838">
        <w:rPr>
          <w:rFonts w:ascii="Arial" w:hAnsi="Arial"/>
          <w:sz w:val="24"/>
          <w:szCs w:val="24"/>
        </w:rPr>
        <w:t xml:space="preserve"> May 2020</w:t>
      </w:r>
    </w:p>
    <w:p w14:paraId="289D08ED" w14:textId="77777777" w:rsidR="00950900" w:rsidRPr="00044FC3" w:rsidRDefault="00950900" w:rsidP="00950900">
      <w:pPr>
        <w:pBdr>
          <w:bottom w:val="single" w:sz="6" w:space="1" w:color="auto"/>
        </w:pBdr>
        <w:tabs>
          <w:tab w:val="right" w:pos="8931"/>
        </w:tabs>
        <w:jc w:val="both"/>
        <w:rPr>
          <w:rFonts w:ascii="Arial" w:hAnsi="Arial"/>
          <w:sz w:val="24"/>
          <w:szCs w:val="24"/>
        </w:rPr>
      </w:pPr>
    </w:p>
    <w:p w14:paraId="2B6C4676" w14:textId="77777777" w:rsidR="00950900" w:rsidRPr="00044FC3" w:rsidRDefault="00950900" w:rsidP="00950900">
      <w:pPr>
        <w:tabs>
          <w:tab w:val="right" w:pos="8931"/>
        </w:tabs>
        <w:jc w:val="both"/>
        <w:rPr>
          <w:rFonts w:ascii="Arial" w:hAnsi="Arial"/>
          <w:sz w:val="24"/>
          <w:szCs w:val="24"/>
        </w:rPr>
      </w:pPr>
    </w:p>
    <w:p w14:paraId="70EA0F45" w14:textId="7128607F" w:rsidR="008913F9" w:rsidRPr="00A37E51" w:rsidRDefault="00C002CB" w:rsidP="00A37E51">
      <w:pPr>
        <w:jc w:val="both"/>
        <w:rPr>
          <w:rFonts w:ascii="Arial" w:hAnsi="Arial"/>
          <w:sz w:val="24"/>
          <w:szCs w:val="24"/>
        </w:rPr>
      </w:pPr>
      <w:r>
        <w:rPr>
          <w:rFonts w:ascii="Arial" w:hAnsi="Arial"/>
          <w:sz w:val="24"/>
          <w:szCs w:val="24"/>
        </w:rPr>
        <w:t>The following is a comp</w:t>
      </w:r>
      <w:r w:rsidR="00285E53">
        <w:rPr>
          <w:rFonts w:ascii="Arial" w:hAnsi="Arial"/>
          <w:sz w:val="24"/>
          <w:szCs w:val="24"/>
        </w:rPr>
        <w:t>any announcement issued by D Shopping Malls Finance PLC (the Company) pursuant to Rule 4.11.13 of the Prospect Rules.</w:t>
      </w:r>
    </w:p>
    <w:p w14:paraId="3004C8F0" w14:textId="37F7239B" w:rsidR="005E2555" w:rsidRDefault="005E2555" w:rsidP="005E2555">
      <w:pPr>
        <w:autoSpaceDE w:val="0"/>
        <w:autoSpaceDN w:val="0"/>
        <w:adjustRightInd w:val="0"/>
        <w:jc w:val="both"/>
        <w:rPr>
          <w:rFonts w:ascii="Arial" w:hAnsi="Arial"/>
          <w:i/>
          <w:iCs/>
          <w:sz w:val="24"/>
          <w:szCs w:val="24"/>
        </w:rPr>
      </w:pPr>
    </w:p>
    <w:p w14:paraId="595BAF6C" w14:textId="44640B5D" w:rsidR="00EF21A4" w:rsidRDefault="00EF21A4" w:rsidP="005E2555">
      <w:pPr>
        <w:autoSpaceDE w:val="0"/>
        <w:autoSpaceDN w:val="0"/>
        <w:adjustRightInd w:val="0"/>
        <w:jc w:val="both"/>
        <w:rPr>
          <w:rFonts w:ascii="Arial" w:hAnsi="Arial"/>
          <w:sz w:val="24"/>
          <w:szCs w:val="24"/>
        </w:rPr>
      </w:pPr>
      <w:r>
        <w:rPr>
          <w:rFonts w:ascii="Arial" w:hAnsi="Arial"/>
          <w:sz w:val="24"/>
          <w:szCs w:val="24"/>
        </w:rPr>
        <w:t>Quote</w:t>
      </w:r>
    </w:p>
    <w:p w14:paraId="48B5BC6B" w14:textId="0932EEDB" w:rsidR="000F4B67" w:rsidRDefault="00D56838" w:rsidP="001F1E41">
      <w:pPr>
        <w:pStyle w:val="NormalWeb"/>
        <w:spacing w:line="276" w:lineRule="auto"/>
        <w:jc w:val="both"/>
        <w:rPr>
          <w:rFonts w:ascii="Arial" w:hAnsi="Arial" w:cs="Arial"/>
          <w:lang w:val="en-US"/>
        </w:rPr>
      </w:pPr>
      <w:bookmarkStart w:id="0" w:name="_Hlk9526129"/>
      <w:r>
        <w:rPr>
          <w:rFonts w:ascii="Arial" w:hAnsi="Arial" w:cs="Arial"/>
          <w:lang w:val="en-US"/>
        </w:rPr>
        <w:t>T</w:t>
      </w:r>
      <w:r w:rsidRPr="00D56838">
        <w:rPr>
          <w:rFonts w:ascii="Arial" w:hAnsi="Arial" w:cs="Arial"/>
        </w:rPr>
        <w:t>he Company</w:t>
      </w:r>
      <w:r w:rsidRPr="00D56838">
        <w:rPr>
          <w:rFonts w:ascii="Arial" w:hAnsi="Arial" w:cs="Arial"/>
          <w:lang w:val="en-US"/>
        </w:rPr>
        <w:t xml:space="preserve"> annou</w:t>
      </w:r>
      <w:r w:rsidR="001F1E41">
        <w:rPr>
          <w:rFonts w:ascii="Arial" w:hAnsi="Arial" w:cs="Arial"/>
          <w:lang w:val="en-US"/>
        </w:rPr>
        <w:t>n</w:t>
      </w:r>
      <w:r w:rsidRPr="00D56838">
        <w:rPr>
          <w:rFonts w:ascii="Arial" w:hAnsi="Arial" w:cs="Arial"/>
          <w:lang w:val="en-US"/>
        </w:rPr>
        <w:t>ces that</w:t>
      </w:r>
      <w:r>
        <w:rPr>
          <w:rFonts w:ascii="Arial" w:hAnsi="Arial" w:cs="Arial"/>
          <w:lang w:val="en-US"/>
        </w:rPr>
        <w:t xml:space="preserve"> </w:t>
      </w:r>
      <w:r w:rsidR="001F1E41">
        <w:rPr>
          <w:rFonts w:ascii="Arial" w:hAnsi="Arial" w:cs="Arial"/>
          <w:lang w:val="en-US"/>
        </w:rPr>
        <w:t xml:space="preserve">following the </w:t>
      </w:r>
      <w:r w:rsidRPr="00D56838">
        <w:rPr>
          <w:rFonts w:ascii="Arial" w:hAnsi="Arial" w:cs="Arial"/>
          <w:lang w:val="en-US"/>
        </w:rPr>
        <w:t>enactment of the relative Legal Notices</w:t>
      </w:r>
      <w:r w:rsidR="000F4B67">
        <w:rPr>
          <w:rFonts w:ascii="Arial" w:hAnsi="Arial" w:cs="Arial"/>
          <w:lang w:val="en-US"/>
        </w:rPr>
        <w:t xml:space="preserve"> allowing shopping malls to resume their activity</w:t>
      </w:r>
      <w:r w:rsidR="001F1E41">
        <w:rPr>
          <w:rFonts w:ascii="Arial" w:hAnsi="Arial" w:cs="Arial"/>
          <w:lang w:val="en-US"/>
        </w:rPr>
        <w:t xml:space="preserve">, D Shopping Malls Limited (the </w:t>
      </w:r>
      <w:r w:rsidR="000F4B67">
        <w:rPr>
          <w:rFonts w:ascii="Arial" w:hAnsi="Arial" w:cs="Arial"/>
          <w:lang w:val="en-US"/>
        </w:rPr>
        <w:t>G</w:t>
      </w:r>
      <w:r w:rsidR="001F1E41">
        <w:rPr>
          <w:rFonts w:ascii="Arial" w:hAnsi="Arial" w:cs="Arial"/>
          <w:lang w:val="en-US"/>
        </w:rPr>
        <w:t xml:space="preserve">uarantor) outlets at The Point, </w:t>
      </w:r>
      <w:proofErr w:type="spellStart"/>
      <w:r w:rsidR="001F1E41">
        <w:rPr>
          <w:rFonts w:ascii="Arial" w:hAnsi="Arial" w:cs="Arial"/>
          <w:lang w:val="en-US"/>
        </w:rPr>
        <w:t>Tigne</w:t>
      </w:r>
      <w:proofErr w:type="spellEnd"/>
      <w:r w:rsidR="001F1E41">
        <w:rPr>
          <w:rFonts w:ascii="Arial" w:hAnsi="Arial" w:cs="Arial"/>
          <w:lang w:val="en-US"/>
        </w:rPr>
        <w:t xml:space="preserve"> and Centre Parc, Qormi, have re-opened</w:t>
      </w:r>
      <w:r w:rsidR="000F4B67">
        <w:rPr>
          <w:rFonts w:ascii="Arial" w:hAnsi="Arial" w:cs="Arial"/>
          <w:lang w:val="en-US"/>
        </w:rPr>
        <w:t xml:space="preserve"> as of the 4</w:t>
      </w:r>
      <w:r w:rsidR="000F4B67" w:rsidRPr="000F4B67">
        <w:rPr>
          <w:rFonts w:ascii="Arial" w:hAnsi="Arial" w:cs="Arial"/>
          <w:vertAlign w:val="superscript"/>
          <w:lang w:val="en-US"/>
        </w:rPr>
        <w:t>th</w:t>
      </w:r>
      <w:r w:rsidR="000F4B67">
        <w:rPr>
          <w:rFonts w:ascii="Arial" w:hAnsi="Arial" w:cs="Arial"/>
          <w:lang w:val="en-US"/>
        </w:rPr>
        <w:t xml:space="preserve"> May 2020. The outlets have re-opened </w:t>
      </w:r>
      <w:r w:rsidRPr="00D56838">
        <w:rPr>
          <w:rFonts w:ascii="Arial" w:hAnsi="Arial" w:cs="Arial"/>
          <w:lang w:val="en-US"/>
        </w:rPr>
        <w:t xml:space="preserve">strictly in line with the directives issued by the </w:t>
      </w:r>
      <w:r w:rsidR="000F4B67">
        <w:rPr>
          <w:rFonts w:ascii="Arial" w:hAnsi="Arial" w:cs="Arial"/>
          <w:lang w:val="en-US"/>
        </w:rPr>
        <w:t>public health</w:t>
      </w:r>
      <w:r w:rsidRPr="00D56838">
        <w:rPr>
          <w:rFonts w:ascii="Arial" w:hAnsi="Arial" w:cs="Arial"/>
          <w:lang w:val="en-US"/>
        </w:rPr>
        <w:t xml:space="preserve"> authorities</w:t>
      </w:r>
      <w:r w:rsidR="000F4B67">
        <w:rPr>
          <w:rFonts w:ascii="Arial" w:hAnsi="Arial" w:cs="Arial"/>
          <w:lang w:val="en-US"/>
        </w:rPr>
        <w:t>.</w:t>
      </w:r>
    </w:p>
    <w:p w14:paraId="0B0D427E" w14:textId="06FB0F84" w:rsidR="000F4B67" w:rsidRPr="001F1E41" w:rsidRDefault="000F4B67" w:rsidP="001F1E41">
      <w:pPr>
        <w:pStyle w:val="NormalWeb"/>
        <w:spacing w:line="276" w:lineRule="auto"/>
        <w:jc w:val="both"/>
        <w:rPr>
          <w:rFonts w:ascii="Arial" w:hAnsi="Arial" w:cs="Arial"/>
          <w:lang w:val="en-US"/>
        </w:rPr>
      </w:pPr>
      <w:r>
        <w:rPr>
          <w:rFonts w:ascii="Arial" w:hAnsi="Arial" w:cs="Arial"/>
          <w:lang w:val="en-US"/>
        </w:rPr>
        <w:t xml:space="preserve">The Guarantor shall continue to take all necessary measures in full compliance with the public health authority directives and will continue to monitor the situation concerning the COVID19 pandemic as it evolves.   </w:t>
      </w:r>
    </w:p>
    <w:p w14:paraId="27E704F6" w14:textId="79D1BC96" w:rsidR="00EF21A4" w:rsidRPr="00EF21A4" w:rsidRDefault="00EF21A4" w:rsidP="005E2555">
      <w:pPr>
        <w:autoSpaceDE w:val="0"/>
        <w:autoSpaceDN w:val="0"/>
        <w:adjustRightInd w:val="0"/>
        <w:jc w:val="both"/>
        <w:rPr>
          <w:rFonts w:ascii="Arial" w:hAnsi="Arial"/>
          <w:sz w:val="24"/>
          <w:szCs w:val="24"/>
        </w:rPr>
      </w:pPr>
      <w:r>
        <w:rPr>
          <w:rFonts w:ascii="Arial" w:hAnsi="Arial"/>
          <w:sz w:val="24"/>
          <w:szCs w:val="24"/>
        </w:rPr>
        <w:t>Unquote.</w:t>
      </w:r>
    </w:p>
    <w:p w14:paraId="75B2E733" w14:textId="688F025C" w:rsidR="00E94B86" w:rsidRDefault="00E94B86" w:rsidP="005E2555">
      <w:pPr>
        <w:autoSpaceDE w:val="0"/>
        <w:autoSpaceDN w:val="0"/>
        <w:adjustRightInd w:val="0"/>
        <w:jc w:val="both"/>
        <w:rPr>
          <w:rFonts w:ascii="Arial" w:hAnsi="Arial"/>
          <w:i/>
          <w:iCs/>
          <w:sz w:val="24"/>
          <w:szCs w:val="24"/>
        </w:rPr>
      </w:pPr>
    </w:p>
    <w:p w14:paraId="515A613B" w14:textId="77777777" w:rsidR="000F4B67" w:rsidRDefault="000F4B67" w:rsidP="005E2555">
      <w:pPr>
        <w:autoSpaceDE w:val="0"/>
        <w:autoSpaceDN w:val="0"/>
        <w:adjustRightInd w:val="0"/>
        <w:jc w:val="both"/>
        <w:rPr>
          <w:rFonts w:ascii="Arial" w:hAnsi="Arial"/>
          <w:i/>
          <w:iCs/>
          <w:sz w:val="24"/>
          <w:szCs w:val="24"/>
        </w:rPr>
      </w:pPr>
    </w:p>
    <w:p w14:paraId="081D1D16" w14:textId="77777777" w:rsidR="00C91176" w:rsidRDefault="00C91176" w:rsidP="005E2555">
      <w:pPr>
        <w:autoSpaceDE w:val="0"/>
        <w:autoSpaceDN w:val="0"/>
        <w:adjustRightInd w:val="0"/>
        <w:jc w:val="both"/>
        <w:rPr>
          <w:rFonts w:ascii="Arial" w:hAnsi="Arial"/>
          <w:i/>
          <w:iCs/>
          <w:sz w:val="24"/>
          <w:szCs w:val="24"/>
        </w:rPr>
      </w:pPr>
    </w:p>
    <w:bookmarkEnd w:id="0"/>
    <w:p w14:paraId="35E2AD1C" w14:textId="7338C717" w:rsidR="00266FC9" w:rsidRPr="00A37E51" w:rsidRDefault="007B2A8B" w:rsidP="0040118D">
      <w:pPr>
        <w:rPr>
          <w:rFonts w:ascii="Arial" w:hAnsi="Arial"/>
          <w:sz w:val="24"/>
          <w:szCs w:val="24"/>
        </w:rPr>
      </w:pPr>
      <w:r w:rsidRPr="007B2A8B">
        <w:rPr>
          <w:rFonts w:ascii="Arial" w:hAnsi="Arial"/>
          <w:noProof/>
          <w:sz w:val="24"/>
          <w:szCs w:val="24"/>
        </w:rPr>
        <w:drawing>
          <wp:inline distT="0" distB="0" distL="0" distR="0" wp14:anchorId="3A2E6BBC" wp14:editId="402BF2CC">
            <wp:extent cx="1341120" cy="1162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128" cy="1188405"/>
                    </a:xfrm>
                    <a:prstGeom prst="rect">
                      <a:avLst/>
                    </a:prstGeom>
                    <a:noFill/>
                    <a:ln>
                      <a:noFill/>
                    </a:ln>
                  </pic:spPr>
                </pic:pic>
              </a:graphicData>
            </a:graphic>
          </wp:inline>
        </w:drawing>
      </w:r>
    </w:p>
    <w:p w14:paraId="5417D713" w14:textId="77777777" w:rsidR="00266FC9" w:rsidRPr="00A37E51" w:rsidRDefault="00266FC9" w:rsidP="0040118D">
      <w:pPr>
        <w:rPr>
          <w:rFonts w:ascii="Arial" w:hAnsi="Arial"/>
          <w:sz w:val="24"/>
          <w:szCs w:val="24"/>
        </w:rPr>
      </w:pPr>
      <w:r w:rsidRPr="00A37E51">
        <w:rPr>
          <w:rFonts w:ascii="Arial" w:hAnsi="Arial"/>
          <w:sz w:val="24"/>
          <w:szCs w:val="24"/>
        </w:rPr>
        <w:t>_________________________</w:t>
      </w:r>
    </w:p>
    <w:p w14:paraId="31A2CDD1" w14:textId="5A716D78" w:rsidR="00266FC9" w:rsidRPr="00A37E51" w:rsidRDefault="00BC6D89" w:rsidP="0040118D">
      <w:pPr>
        <w:rPr>
          <w:rFonts w:ascii="Arial" w:hAnsi="Arial"/>
          <w:sz w:val="24"/>
          <w:szCs w:val="24"/>
        </w:rPr>
      </w:pPr>
      <w:r>
        <w:rPr>
          <w:rFonts w:ascii="Arial" w:hAnsi="Arial"/>
          <w:sz w:val="24"/>
          <w:szCs w:val="24"/>
        </w:rPr>
        <w:t>Dr Ian Vella Galea</w:t>
      </w:r>
    </w:p>
    <w:p w14:paraId="1943488E" w14:textId="7B01E996" w:rsidR="00C53A73" w:rsidRDefault="00266FC9" w:rsidP="0040118D">
      <w:pPr>
        <w:rPr>
          <w:rFonts w:ascii="Arial" w:hAnsi="Arial"/>
          <w:sz w:val="24"/>
          <w:szCs w:val="24"/>
        </w:rPr>
      </w:pPr>
      <w:r w:rsidRPr="00A37E51">
        <w:rPr>
          <w:rFonts w:ascii="Arial" w:hAnsi="Arial"/>
          <w:sz w:val="24"/>
          <w:szCs w:val="24"/>
        </w:rPr>
        <w:t>Company Secretary</w:t>
      </w:r>
    </w:p>
    <w:p w14:paraId="136B14FC" w14:textId="29EC6A8B" w:rsidR="00C91176" w:rsidRDefault="00C91176" w:rsidP="0040118D">
      <w:pPr>
        <w:rPr>
          <w:rFonts w:ascii="Arial" w:hAnsi="Arial"/>
          <w:sz w:val="24"/>
          <w:szCs w:val="24"/>
        </w:rPr>
      </w:pPr>
    </w:p>
    <w:p w14:paraId="6DC01D00" w14:textId="77777777" w:rsidR="00C91176" w:rsidRPr="00A37E51" w:rsidRDefault="00C91176" w:rsidP="0040118D">
      <w:pPr>
        <w:rPr>
          <w:rFonts w:ascii="Arial" w:hAnsi="Arial"/>
          <w:sz w:val="24"/>
          <w:szCs w:val="24"/>
        </w:rPr>
      </w:pPr>
    </w:p>
    <w:p w14:paraId="62081423" w14:textId="0A8FFCA2" w:rsidR="008913F9" w:rsidRPr="009C09D6" w:rsidRDefault="00C91176" w:rsidP="00490C4A">
      <w:pPr>
        <w:rPr>
          <w:rFonts w:ascii="Arial" w:hAnsi="Arial"/>
          <w:sz w:val="24"/>
          <w:szCs w:val="24"/>
        </w:rPr>
      </w:pPr>
      <w:r>
        <w:rPr>
          <w:rFonts w:ascii="Arial" w:hAnsi="Arial"/>
          <w:sz w:val="24"/>
          <w:szCs w:val="24"/>
        </w:rPr>
        <w:t xml:space="preserve">DSM </w:t>
      </w:r>
      <w:r w:rsidR="00740B98">
        <w:rPr>
          <w:rFonts w:ascii="Arial" w:hAnsi="Arial"/>
          <w:sz w:val="24"/>
          <w:szCs w:val="24"/>
        </w:rPr>
        <w:t>2</w:t>
      </w:r>
      <w:r w:rsidR="00CD6BBA">
        <w:rPr>
          <w:rFonts w:ascii="Arial" w:hAnsi="Arial"/>
          <w:sz w:val="24"/>
          <w:szCs w:val="24"/>
        </w:rPr>
        <w:t>4</w:t>
      </w:r>
    </w:p>
    <w:sectPr w:rsidR="008913F9" w:rsidRPr="009C09D6" w:rsidSect="009C09D6">
      <w:pgSz w:w="11906" w:h="16838" w:code="9"/>
      <w:pgMar w:top="454" w:right="1134" w:bottom="955"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C866" w14:textId="77777777" w:rsidR="00A11FA1" w:rsidRDefault="00A11FA1">
      <w:r>
        <w:separator/>
      </w:r>
    </w:p>
  </w:endnote>
  <w:endnote w:type="continuationSeparator" w:id="0">
    <w:p w14:paraId="5F97BCBB" w14:textId="77777777" w:rsidR="00A11FA1" w:rsidRDefault="00A1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52F0" w14:textId="77777777" w:rsidR="00A11FA1" w:rsidRDefault="00A11FA1">
      <w:r>
        <w:separator/>
      </w:r>
    </w:p>
  </w:footnote>
  <w:footnote w:type="continuationSeparator" w:id="0">
    <w:p w14:paraId="31B10BF0" w14:textId="77777777" w:rsidR="00A11FA1" w:rsidRDefault="00A1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868332"/>
    <w:multiLevelType w:val="hybridMultilevel"/>
    <w:tmpl w:val="70CF2D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582E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4A5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4AC6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A4A9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42BC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FC7C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625914"/>
    <w:lvl w:ilvl="0">
      <w:start w:val="1"/>
      <w:numFmt w:val="bullet"/>
      <w:lvlText w:val=""/>
      <w:lvlJc w:val="left"/>
      <w:pPr>
        <w:tabs>
          <w:tab w:val="num" w:pos="1588"/>
        </w:tabs>
        <w:ind w:left="1588" w:hanging="908"/>
      </w:pPr>
      <w:rPr>
        <w:rFonts w:ascii="Symbol" w:hAnsi="Symbol" w:hint="default"/>
        <w:color w:val="632163"/>
      </w:rPr>
    </w:lvl>
  </w:abstractNum>
  <w:abstractNum w:abstractNumId="8" w15:restartNumberingAfterBreak="0">
    <w:nsid w:val="FFFFFF83"/>
    <w:multiLevelType w:val="singleLevel"/>
    <w:tmpl w:val="571666CA"/>
    <w:lvl w:ilvl="0">
      <w:start w:val="1"/>
      <w:numFmt w:val="bullet"/>
      <w:lvlText w:val=""/>
      <w:lvlJc w:val="left"/>
      <w:pPr>
        <w:tabs>
          <w:tab w:val="num" w:pos="641"/>
        </w:tabs>
        <w:ind w:left="641" w:hanging="284"/>
      </w:pPr>
      <w:rPr>
        <w:rFonts w:ascii="Symbol" w:hAnsi="Symbol" w:hint="default"/>
        <w:color w:val="632163"/>
      </w:rPr>
    </w:lvl>
  </w:abstractNum>
  <w:abstractNum w:abstractNumId="9" w15:restartNumberingAfterBreak="0">
    <w:nsid w:val="FFFFFF88"/>
    <w:multiLevelType w:val="singleLevel"/>
    <w:tmpl w:val="8C6C7FB2"/>
    <w:lvl w:ilvl="0">
      <w:start w:val="1"/>
      <w:numFmt w:val="decimal"/>
      <w:lvlText w:val="%1."/>
      <w:lvlJc w:val="left"/>
      <w:pPr>
        <w:tabs>
          <w:tab w:val="num" w:pos="360"/>
        </w:tabs>
        <w:ind w:left="360" w:hanging="360"/>
      </w:pPr>
    </w:lvl>
  </w:abstractNum>
  <w:abstractNum w:abstractNumId="10" w15:restartNumberingAfterBreak="0">
    <w:nsid w:val="068B23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0171DB"/>
    <w:multiLevelType w:val="hybridMultilevel"/>
    <w:tmpl w:val="9DF2F16A"/>
    <w:lvl w:ilvl="0" w:tplc="A420CAFC">
      <w:start w:val="1"/>
      <w:numFmt w:val="bullet"/>
      <w:lvlText w:val="o"/>
      <w:lvlJc w:val="left"/>
      <w:pPr>
        <w:tabs>
          <w:tab w:val="num" w:pos="907"/>
        </w:tabs>
        <w:ind w:left="907" w:hanging="397"/>
      </w:pPr>
      <w:rPr>
        <w:rFonts w:ascii="Courier New" w:hAnsi="Courier New" w:hint="default"/>
        <w:color w:val="632163"/>
      </w:rPr>
    </w:lvl>
    <w:lvl w:ilvl="1" w:tplc="D89C9A22">
      <w:start w:val="1"/>
      <w:numFmt w:val="bullet"/>
      <w:lvlText w:val="o"/>
      <w:lvlJc w:val="left"/>
      <w:pPr>
        <w:tabs>
          <w:tab w:val="num" w:pos="1077"/>
        </w:tabs>
        <w:ind w:left="1077" w:hanging="397"/>
      </w:pPr>
      <w:rPr>
        <w:rFonts w:ascii="Courier New" w:hAnsi="Courier New" w:hint="default"/>
      </w:rPr>
    </w:lvl>
    <w:lvl w:ilvl="2" w:tplc="AE5EB8C6" w:tentative="1">
      <w:start w:val="1"/>
      <w:numFmt w:val="bullet"/>
      <w:lvlText w:val=""/>
      <w:lvlJc w:val="left"/>
      <w:pPr>
        <w:tabs>
          <w:tab w:val="num" w:pos="2160"/>
        </w:tabs>
        <w:ind w:left="2160" w:hanging="360"/>
      </w:pPr>
      <w:rPr>
        <w:rFonts w:ascii="Wingdings" w:hAnsi="Wingdings" w:hint="default"/>
      </w:rPr>
    </w:lvl>
    <w:lvl w:ilvl="3" w:tplc="223A4E6A" w:tentative="1">
      <w:start w:val="1"/>
      <w:numFmt w:val="bullet"/>
      <w:lvlText w:val=""/>
      <w:lvlJc w:val="left"/>
      <w:pPr>
        <w:tabs>
          <w:tab w:val="num" w:pos="2880"/>
        </w:tabs>
        <w:ind w:left="2880" w:hanging="360"/>
      </w:pPr>
      <w:rPr>
        <w:rFonts w:ascii="Symbol" w:hAnsi="Symbol" w:hint="default"/>
      </w:rPr>
    </w:lvl>
    <w:lvl w:ilvl="4" w:tplc="92506CEC" w:tentative="1">
      <w:start w:val="1"/>
      <w:numFmt w:val="bullet"/>
      <w:lvlText w:val="o"/>
      <w:lvlJc w:val="left"/>
      <w:pPr>
        <w:tabs>
          <w:tab w:val="num" w:pos="3600"/>
        </w:tabs>
        <w:ind w:left="3600" w:hanging="360"/>
      </w:pPr>
      <w:rPr>
        <w:rFonts w:ascii="Courier New" w:hAnsi="Courier New" w:cs="Wingdings" w:hint="default"/>
      </w:rPr>
    </w:lvl>
    <w:lvl w:ilvl="5" w:tplc="2EF4A9E8" w:tentative="1">
      <w:start w:val="1"/>
      <w:numFmt w:val="bullet"/>
      <w:lvlText w:val=""/>
      <w:lvlJc w:val="left"/>
      <w:pPr>
        <w:tabs>
          <w:tab w:val="num" w:pos="4320"/>
        </w:tabs>
        <w:ind w:left="4320" w:hanging="360"/>
      </w:pPr>
      <w:rPr>
        <w:rFonts w:ascii="Wingdings" w:hAnsi="Wingdings" w:hint="default"/>
      </w:rPr>
    </w:lvl>
    <w:lvl w:ilvl="6" w:tplc="A0E283A2" w:tentative="1">
      <w:start w:val="1"/>
      <w:numFmt w:val="bullet"/>
      <w:lvlText w:val=""/>
      <w:lvlJc w:val="left"/>
      <w:pPr>
        <w:tabs>
          <w:tab w:val="num" w:pos="5040"/>
        </w:tabs>
        <w:ind w:left="5040" w:hanging="360"/>
      </w:pPr>
      <w:rPr>
        <w:rFonts w:ascii="Symbol" w:hAnsi="Symbol" w:hint="default"/>
      </w:rPr>
    </w:lvl>
    <w:lvl w:ilvl="7" w:tplc="66E615FE" w:tentative="1">
      <w:start w:val="1"/>
      <w:numFmt w:val="bullet"/>
      <w:lvlText w:val="o"/>
      <w:lvlJc w:val="left"/>
      <w:pPr>
        <w:tabs>
          <w:tab w:val="num" w:pos="5760"/>
        </w:tabs>
        <w:ind w:left="5760" w:hanging="360"/>
      </w:pPr>
      <w:rPr>
        <w:rFonts w:ascii="Courier New" w:hAnsi="Courier New" w:cs="Wingdings" w:hint="default"/>
      </w:rPr>
    </w:lvl>
    <w:lvl w:ilvl="8" w:tplc="0902F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93AE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CAAA75"/>
    <w:multiLevelType w:val="hybridMultilevel"/>
    <w:tmpl w:val="69AE52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016035"/>
    <w:multiLevelType w:val="multilevel"/>
    <w:tmpl w:val="C2A243C0"/>
    <w:lvl w:ilvl="0">
      <w:start w:val="1"/>
      <w:numFmt w:val="decimal"/>
      <w:isLgl/>
      <w:lvlText w:val="%1."/>
      <w:lvlJc w:val="left"/>
      <w:pPr>
        <w:tabs>
          <w:tab w:val="num" w:pos="397"/>
        </w:tabs>
        <w:ind w:left="397" w:hanging="397"/>
      </w:pPr>
      <w:rPr>
        <w:rFonts w:hint="default"/>
      </w:rPr>
    </w:lvl>
    <w:lvl w:ilvl="1">
      <w:start w:val="1"/>
      <w:numFmt w:val="decimal"/>
      <w:lvlText w:val="%1.%2."/>
      <w:lvlJc w:val="left"/>
      <w:pPr>
        <w:tabs>
          <w:tab w:val="num" w:pos="1021"/>
        </w:tabs>
        <w:ind w:left="1021" w:hanging="624"/>
      </w:pPr>
      <w:rPr>
        <w:rFonts w:hint="default"/>
      </w:rPr>
    </w:lvl>
    <w:lvl w:ilvl="2">
      <w:start w:val="1"/>
      <w:numFmt w:val="decimal"/>
      <w:lvlText w:val="%1.%2.%3."/>
      <w:lvlJc w:val="left"/>
      <w:pPr>
        <w:tabs>
          <w:tab w:val="num" w:pos="1474"/>
        </w:tabs>
        <w:ind w:left="1474" w:hanging="510"/>
      </w:pPr>
      <w:rPr>
        <w:rFonts w:hint="default"/>
      </w:rPr>
    </w:lvl>
    <w:lvl w:ilvl="3">
      <w:start w:val="1"/>
      <w:numFmt w:val="bullet"/>
      <w:lvlText w:val=""/>
      <w:lvlJc w:val="left"/>
      <w:pPr>
        <w:tabs>
          <w:tab w:val="num" w:pos="680"/>
        </w:tabs>
        <w:ind w:left="680" w:hanging="323"/>
      </w:pPr>
      <w:rPr>
        <w:rFonts w:ascii="Symbol" w:hAnsi="Symbol" w:hint="default"/>
      </w:rPr>
    </w:lvl>
    <w:lvl w:ilvl="4">
      <w:start w:val="1"/>
      <w:numFmt w:val="bullet"/>
      <w:lvlRestart w:val="0"/>
      <w:lvlText w:val=""/>
      <w:lvlJc w:val="left"/>
      <w:pPr>
        <w:tabs>
          <w:tab w:val="num" w:pos="680"/>
        </w:tabs>
        <w:ind w:left="680" w:hanging="323"/>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1FE3976"/>
    <w:multiLevelType w:val="multilevel"/>
    <w:tmpl w:val="2EC0E21A"/>
    <w:lvl w:ilvl="0">
      <w:start w:val="1"/>
      <w:numFmt w:val="decimal"/>
      <w:lvlText w:val="%1."/>
      <w:lvlJc w:val="left"/>
      <w:pPr>
        <w:tabs>
          <w:tab w:val="num" w:pos="926"/>
        </w:tabs>
        <w:ind w:left="92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4264FB"/>
    <w:multiLevelType w:val="multilevel"/>
    <w:tmpl w:val="79C604F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0E7E82"/>
    <w:multiLevelType w:val="hybridMultilevel"/>
    <w:tmpl w:val="8DCC3A70"/>
    <w:lvl w:ilvl="0" w:tplc="9EEAFB3E">
      <w:start w:val="1"/>
      <w:numFmt w:val="bullet"/>
      <w:lvlText w:val=""/>
      <w:lvlJc w:val="left"/>
      <w:pPr>
        <w:tabs>
          <w:tab w:val="num" w:pos="357"/>
        </w:tabs>
        <w:ind w:left="357" w:hanging="357"/>
      </w:pPr>
      <w:rPr>
        <w:rFonts w:ascii="Symbol" w:hAnsi="Symbol" w:hint="default"/>
        <w:color w:val="632163"/>
      </w:rPr>
    </w:lvl>
    <w:lvl w:ilvl="1" w:tplc="1BF8421A" w:tentative="1">
      <w:start w:val="1"/>
      <w:numFmt w:val="bullet"/>
      <w:lvlText w:val="o"/>
      <w:lvlJc w:val="left"/>
      <w:pPr>
        <w:tabs>
          <w:tab w:val="num" w:pos="1440"/>
        </w:tabs>
        <w:ind w:left="1440" w:hanging="360"/>
      </w:pPr>
      <w:rPr>
        <w:rFonts w:ascii="Courier New" w:hAnsi="Courier New" w:cs="Wingdings" w:hint="default"/>
      </w:rPr>
    </w:lvl>
    <w:lvl w:ilvl="2" w:tplc="38CC3FC2" w:tentative="1">
      <w:start w:val="1"/>
      <w:numFmt w:val="bullet"/>
      <w:lvlText w:val=""/>
      <w:lvlJc w:val="left"/>
      <w:pPr>
        <w:tabs>
          <w:tab w:val="num" w:pos="2160"/>
        </w:tabs>
        <w:ind w:left="2160" w:hanging="360"/>
      </w:pPr>
      <w:rPr>
        <w:rFonts w:ascii="Wingdings" w:hAnsi="Wingdings" w:hint="default"/>
      </w:rPr>
    </w:lvl>
    <w:lvl w:ilvl="3" w:tplc="4574DFD4" w:tentative="1">
      <w:start w:val="1"/>
      <w:numFmt w:val="bullet"/>
      <w:lvlText w:val=""/>
      <w:lvlJc w:val="left"/>
      <w:pPr>
        <w:tabs>
          <w:tab w:val="num" w:pos="2880"/>
        </w:tabs>
        <w:ind w:left="2880" w:hanging="360"/>
      </w:pPr>
      <w:rPr>
        <w:rFonts w:ascii="Symbol" w:hAnsi="Symbol" w:hint="default"/>
      </w:rPr>
    </w:lvl>
    <w:lvl w:ilvl="4" w:tplc="8564D340" w:tentative="1">
      <w:start w:val="1"/>
      <w:numFmt w:val="bullet"/>
      <w:lvlText w:val="o"/>
      <w:lvlJc w:val="left"/>
      <w:pPr>
        <w:tabs>
          <w:tab w:val="num" w:pos="3600"/>
        </w:tabs>
        <w:ind w:left="3600" w:hanging="360"/>
      </w:pPr>
      <w:rPr>
        <w:rFonts w:ascii="Courier New" w:hAnsi="Courier New" w:cs="Wingdings" w:hint="default"/>
      </w:rPr>
    </w:lvl>
    <w:lvl w:ilvl="5" w:tplc="B4523E64" w:tentative="1">
      <w:start w:val="1"/>
      <w:numFmt w:val="bullet"/>
      <w:lvlText w:val=""/>
      <w:lvlJc w:val="left"/>
      <w:pPr>
        <w:tabs>
          <w:tab w:val="num" w:pos="4320"/>
        </w:tabs>
        <w:ind w:left="4320" w:hanging="360"/>
      </w:pPr>
      <w:rPr>
        <w:rFonts w:ascii="Wingdings" w:hAnsi="Wingdings" w:hint="default"/>
      </w:rPr>
    </w:lvl>
    <w:lvl w:ilvl="6" w:tplc="CBC860A8" w:tentative="1">
      <w:start w:val="1"/>
      <w:numFmt w:val="bullet"/>
      <w:lvlText w:val=""/>
      <w:lvlJc w:val="left"/>
      <w:pPr>
        <w:tabs>
          <w:tab w:val="num" w:pos="5040"/>
        </w:tabs>
        <w:ind w:left="5040" w:hanging="360"/>
      </w:pPr>
      <w:rPr>
        <w:rFonts w:ascii="Symbol" w:hAnsi="Symbol" w:hint="default"/>
      </w:rPr>
    </w:lvl>
    <w:lvl w:ilvl="7" w:tplc="72221F70" w:tentative="1">
      <w:start w:val="1"/>
      <w:numFmt w:val="bullet"/>
      <w:lvlText w:val="o"/>
      <w:lvlJc w:val="left"/>
      <w:pPr>
        <w:tabs>
          <w:tab w:val="num" w:pos="5760"/>
        </w:tabs>
        <w:ind w:left="5760" w:hanging="360"/>
      </w:pPr>
      <w:rPr>
        <w:rFonts w:ascii="Courier New" w:hAnsi="Courier New" w:cs="Wingdings" w:hint="default"/>
      </w:rPr>
    </w:lvl>
    <w:lvl w:ilvl="8" w:tplc="5B5C45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7E5020B8"/>
    <w:multiLevelType w:val="multilevel"/>
    <w:tmpl w:val="273ECCBE"/>
    <w:lvl w:ilvl="0">
      <w:start w:val="1"/>
      <w:numFmt w:val="decimal"/>
      <w:isLgl/>
      <w:lvlText w:val="%1."/>
      <w:lvlJc w:val="left"/>
      <w:pPr>
        <w:tabs>
          <w:tab w:val="num" w:pos="357"/>
        </w:tabs>
        <w:ind w:left="357" w:hanging="357"/>
      </w:pPr>
    </w:lvl>
    <w:lvl w:ilvl="1">
      <w:start w:val="1"/>
      <w:numFmt w:val="decimal"/>
      <w:isLgl/>
      <w:lvlText w:val="%1.%2."/>
      <w:lvlJc w:val="left"/>
      <w:pPr>
        <w:tabs>
          <w:tab w:val="num" w:pos="964"/>
        </w:tabs>
        <w:ind w:left="964" w:hanging="607"/>
      </w:pPr>
    </w:lvl>
    <w:lvl w:ilvl="2">
      <w:start w:val="1"/>
      <w:numFmt w:val="decimal"/>
      <w:isLgl/>
      <w:lvlText w:val="%1.%2.%3."/>
      <w:lvlJc w:val="left"/>
      <w:pPr>
        <w:tabs>
          <w:tab w:val="num" w:pos="1587"/>
        </w:tabs>
        <w:ind w:left="1587" w:hanging="90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8"/>
  </w:num>
  <w:num w:numId="3">
    <w:abstractNumId w:val="8"/>
  </w:num>
  <w:num w:numId="4">
    <w:abstractNumId w:val="7"/>
  </w:num>
  <w:num w:numId="5">
    <w:abstractNumId w:val="7"/>
  </w:num>
  <w:num w:numId="6">
    <w:abstractNumId w:val="9"/>
  </w:num>
  <w:num w:numId="7">
    <w:abstractNumId w:val="9"/>
  </w:num>
  <w:num w:numId="8">
    <w:abstractNumId w:val="4"/>
  </w:num>
  <w:num w:numId="9">
    <w:abstractNumId w:val="4"/>
  </w:num>
  <w:num w:numId="10">
    <w:abstractNumId w:val="21"/>
  </w:num>
  <w:num w:numId="11">
    <w:abstractNumId w:val="23"/>
  </w:num>
  <w:num w:numId="12">
    <w:abstractNumId w:val="11"/>
  </w:num>
  <w:num w:numId="13">
    <w:abstractNumId w:val="9"/>
  </w:num>
  <w:num w:numId="14">
    <w:abstractNumId w:val="4"/>
  </w:num>
  <w:num w:numId="15">
    <w:abstractNumId w:val="23"/>
  </w:num>
  <w:num w:numId="16">
    <w:abstractNumId w:val="9"/>
  </w:num>
  <w:num w:numId="17">
    <w:abstractNumId w:val="22"/>
  </w:num>
  <w:num w:numId="18">
    <w:abstractNumId w:val="22"/>
  </w:num>
  <w:num w:numId="19">
    <w:abstractNumId w:val="13"/>
  </w:num>
  <w:num w:numId="20">
    <w:abstractNumId w:val="13"/>
  </w:num>
  <w:num w:numId="21">
    <w:abstractNumId w:val="8"/>
  </w:num>
  <w:num w:numId="22">
    <w:abstractNumId w:val="6"/>
  </w:num>
  <w:num w:numId="23">
    <w:abstractNumId w:val="5"/>
  </w:num>
  <w:num w:numId="24">
    <w:abstractNumId w:val="3"/>
  </w:num>
  <w:num w:numId="25">
    <w:abstractNumId w:val="2"/>
  </w:num>
  <w:num w:numId="26">
    <w:abstractNumId w:val="1"/>
  </w:num>
  <w:num w:numId="27">
    <w:abstractNumId w:val="16"/>
  </w:num>
  <w:num w:numId="28">
    <w:abstractNumId w:val="20"/>
  </w:num>
  <w:num w:numId="29">
    <w:abstractNumId w:val="19"/>
  </w:num>
  <w:num w:numId="30">
    <w:abstractNumId w:val="12"/>
  </w:num>
  <w:num w:numId="31">
    <w:abstractNumId w:val="10"/>
  </w:num>
  <w:num w:numId="32">
    <w:abstractNumId w:val="14"/>
  </w:num>
  <w:num w:numId="33">
    <w:abstractNumId w:val="17"/>
  </w:num>
  <w:num w:numId="34">
    <w:abstractNumId w:val="17"/>
  </w:num>
  <w:num w:numId="35">
    <w:abstractNumId w:val="16"/>
  </w:num>
  <w:num w:numId="36">
    <w:abstractNumId w:val="16"/>
  </w:num>
  <w:num w:numId="37">
    <w:abstractNumId w:val="16"/>
  </w:num>
  <w:num w:numId="38">
    <w:abstractNumId w:val="16"/>
  </w:num>
  <w:num w:numId="39">
    <w:abstractNumId w:val="16"/>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92"/>
    <w:rsid w:val="000235EB"/>
    <w:rsid w:val="00025C28"/>
    <w:rsid w:val="00041BE5"/>
    <w:rsid w:val="00043F33"/>
    <w:rsid w:val="000636F2"/>
    <w:rsid w:val="000A58C3"/>
    <w:rsid w:val="000C7B49"/>
    <w:rsid w:val="000F4B67"/>
    <w:rsid w:val="000F700D"/>
    <w:rsid w:val="001452A1"/>
    <w:rsid w:val="0015743F"/>
    <w:rsid w:val="001A3F3C"/>
    <w:rsid w:val="001A6AEC"/>
    <w:rsid w:val="001B4F49"/>
    <w:rsid w:val="001C4480"/>
    <w:rsid w:val="001E1992"/>
    <w:rsid w:val="001E43AB"/>
    <w:rsid w:val="001E45B8"/>
    <w:rsid w:val="001E6F57"/>
    <w:rsid w:val="001F1E41"/>
    <w:rsid w:val="00200A58"/>
    <w:rsid w:val="00213D94"/>
    <w:rsid w:val="00241BF0"/>
    <w:rsid w:val="00254FC0"/>
    <w:rsid w:val="00257D56"/>
    <w:rsid w:val="00266FC9"/>
    <w:rsid w:val="002805A6"/>
    <w:rsid w:val="00281D8A"/>
    <w:rsid w:val="002821F6"/>
    <w:rsid w:val="00285E53"/>
    <w:rsid w:val="002A33AE"/>
    <w:rsid w:val="002A5C61"/>
    <w:rsid w:val="002B3852"/>
    <w:rsid w:val="002C0344"/>
    <w:rsid w:val="002F4879"/>
    <w:rsid w:val="00302018"/>
    <w:rsid w:val="00305C57"/>
    <w:rsid w:val="00344ACE"/>
    <w:rsid w:val="003639F1"/>
    <w:rsid w:val="0039379B"/>
    <w:rsid w:val="003A7AC9"/>
    <w:rsid w:val="003B345C"/>
    <w:rsid w:val="003B5015"/>
    <w:rsid w:val="003B626B"/>
    <w:rsid w:val="003F016B"/>
    <w:rsid w:val="0040118D"/>
    <w:rsid w:val="00432A51"/>
    <w:rsid w:val="00490C4A"/>
    <w:rsid w:val="004B04B3"/>
    <w:rsid w:val="004B3B24"/>
    <w:rsid w:val="004C13D3"/>
    <w:rsid w:val="004D194D"/>
    <w:rsid w:val="004D460D"/>
    <w:rsid w:val="004F0305"/>
    <w:rsid w:val="005056DF"/>
    <w:rsid w:val="00520EF0"/>
    <w:rsid w:val="00525375"/>
    <w:rsid w:val="0056384A"/>
    <w:rsid w:val="005802EE"/>
    <w:rsid w:val="00580F01"/>
    <w:rsid w:val="005829DE"/>
    <w:rsid w:val="005A1556"/>
    <w:rsid w:val="005A7639"/>
    <w:rsid w:val="005B36B4"/>
    <w:rsid w:val="005D0A49"/>
    <w:rsid w:val="005D4482"/>
    <w:rsid w:val="005D4A27"/>
    <w:rsid w:val="005D7123"/>
    <w:rsid w:val="005E2555"/>
    <w:rsid w:val="005F019A"/>
    <w:rsid w:val="005F4E22"/>
    <w:rsid w:val="006145E4"/>
    <w:rsid w:val="00614C6D"/>
    <w:rsid w:val="00643DAA"/>
    <w:rsid w:val="00661D65"/>
    <w:rsid w:val="006652F9"/>
    <w:rsid w:val="0067270F"/>
    <w:rsid w:val="0067428C"/>
    <w:rsid w:val="00682218"/>
    <w:rsid w:val="00725229"/>
    <w:rsid w:val="00740B98"/>
    <w:rsid w:val="00753436"/>
    <w:rsid w:val="00763563"/>
    <w:rsid w:val="00793390"/>
    <w:rsid w:val="007B2A8B"/>
    <w:rsid w:val="007C4C86"/>
    <w:rsid w:val="00811031"/>
    <w:rsid w:val="0082211C"/>
    <w:rsid w:val="00832C98"/>
    <w:rsid w:val="008373BA"/>
    <w:rsid w:val="00850E2C"/>
    <w:rsid w:val="00855A62"/>
    <w:rsid w:val="008612FE"/>
    <w:rsid w:val="00884B99"/>
    <w:rsid w:val="008913F9"/>
    <w:rsid w:val="0089622E"/>
    <w:rsid w:val="008A3F93"/>
    <w:rsid w:val="008A6680"/>
    <w:rsid w:val="008E7AE0"/>
    <w:rsid w:val="00903A0C"/>
    <w:rsid w:val="009178E1"/>
    <w:rsid w:val="00923322"/>
    <w:rsid w:val="0093411F"/>
    <w:rsid w:val="0093757F"/>
    <w:rsid w:val="009449E9"/>
    <w:rsid w:val="00947A2B"/>
    <w:rsid w:val="00950900"/>
    <w:rsid w:val="00953D16"/>
    <w:rsid w:val="00960385"/>
    <w:rsid w:val="00996BAC"/>
    <w:rsid w:val="0099726B"/>
    <w:rsid w:val="009A3E15"/>
    <w:rsid w:val="009B373B"/>
    <w:rsid w:val="009C09D6"/>
    <w:rsid w:val="009C0C4E"/>
    <w:rsid w:val="009E5112"/>
    <w:rsid w:val="009F4ED5"/>
    <w:rsid w:val="00A05EC6"/>
    <w:rsid w:val="00A11FA1"/>
    <w:rsid w:val="00A17AC1"/>
    <w:rsid w:val="00A25A80"/>
    <w:rsid w:val="00A35CFF"/>
    <w:rsid w:val="00A37E51"/>
    <w:rsid w:val="00A40701"/>
    <w:rsid w:val="00A6147D"/>
    <w:rsid w:val="00A65E7E"/>
    <w:rsid w:val="00A7516A"/>
    <w:rsid w:val="00AB563C"/>
    <w:rsid w:val="00AC2CD2"/>
    <w:rsid w:val="00B07753"/>
    <w:rsid w:val="00B21413"/>
    <w:rsid w:val="00B3571B"/>
    <w:rsid w:val="00B35917"/>
    <w:rsid w:val="00B506B3"/>
    <w:rsid w:val="00B72016"/>
    <w:rsid w:val="00B90DAD"/>
    <w:rsid w:val="00BC6D89"/>
    <w:rsid w:val="00BD1AA6"/>
    <w:rsid w:val="00BD3C6C"/>
    <w:rsid w:val="00BE7657"/>
    <w:rsid w:val="00C002CB"/>
    <w:rsid w:val="00C05FE2"/>
    <w:rsid w:val="00C14B5C"/>
    <w:rsid w:val="00C23F47"/>
    <w:rsid w:val="00C26B8F"/>
    <w:rsid w:val="00C320B8"/>
    <w:rsid w:val="00C53A73"/>
    <w:rsid w:val="00C57363"/>
    <w:rsid w:val="00C67082"/>
    <w:rsid w:val="00C910A7"/>
    <w:rsid w:val="00C91176"/>
    <w:rsid w:val="00CA44C4"/>
    <w:rsid w:val="00CB1830"/>
    <w:rsid w:val="00CB43EB"/>
    <w:rsid w:val="00CD6BBA"/>
    <w:rsid w:val="00CD6E9B"/>
    <w:rsid w:val="00CE3414"/>
    <w:rsid w:val="00CE39FF"/>
    <w:rsid w:val="00CE422E"/>
    <w:rsid w:val="00CE6A5B"/>
    <w:rsid w:val="00CF293F"/>
    <w:rsid w:val="00CF2BA0"/>
    <w:rsid w:val="00D021B1"/>
    <w:rsid w:val="00D14C09"/>
    <w:rsid w:val="00D42873"/>
    <w:rsid w:val="00D53D16"/>
    <w:rsid w:val="00D56838"/>
    <w:rsid w:val="00D56D1D"/>
    <w:rsid w:val="00D71751"/>
    <w:rsid w:val="00D93015"/>
    <w:rsid w:val="00D96604"/>
    <w:rsid w:val="00DD6713"/>
    <w:rsid w:val="00DE1608"/>
    <w:rsid w:val="00DE1F78"/>
    <w:rsid w:val="00DE346C"/>
    <w:rsid w:val="00E11770"/>
    <w:rsid w:val="00E13F29"/>
    <w:rsid w:val="00E21DE5"/>
    <w:rsid w:val="00E749D0"/>
    <w:rsid w:val="00E82A4B"/>
    <w:rsid w:val="00E86CD3"/>
    <w:rsid w:val="00E90A82"/>
    <w:rsid w:val="00E94B86"/>
    <w:rsid w:val="00EB1936"/>
    <w:rsid w:val="00EE2949"/>
    <w:rsid w:val="00EF21A4"/>
    <w:rsid w:val="00F21151"/>
    <w:rsid w:val="00F44314"/>
    <w:rsid w:val="00F47B9A"/>
    <w:rsid w:val="00F52F29"/>
    <w:rsid w:val="00F55B46"/>
    <w:rsid w:val="00FC20BB"/>
    <w:rsid w:val="00FC43FF"/>
    <w:rsid w:val="00FC6C6F"/>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212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rsid w:val="00B3571B"/>
    <w:rPr>
      <w:rFonts w:ascii="Garamond" w:hAnsi="Garamond" w:cs="Arial"/>
      <w:sz w:val="22"/>
      <w:lang w:val="en-GB"/>
    </w:rPr>
  </w:style>
  <w:style w:type="paragraph" w:styleId="Heading1">
    <w:name w:val="heading 1"/>
    <w:basedOn w:val="Normal"/>
    <w:next w:val="BodyText"/>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39"/>
      </w:numPr>
      <w:spacing w:before="240" w:after="60"/>
      <w:outlineLvl w:val="4"/>
    </w:pPr>
    <w:rPr>
      <w:b/>
      <w:bCs/>
      <w:i/>
      <w:iCs/>
      <w:sz w:val="26"/>
      <w:szCs w:val="26"/>
    </w:rPr>
  </w:style>
  <w:style w:type="paragraph" w:styleId="Heading6">
    <w:name w:val="heading 6"/>
    <w:basedOn w:val="Normal"/>
    <w:next w:val="Normal"/>
    <w:rsid w:val="00B3571B"/>
    <w:pPr>
      <w:numPr>
        <w:ilvl w:val="5"/>
        <w:numId w:val="39"/>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39"/>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39"/>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39"/>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lang w:val="en-GB"/>
    </w:rPr>
  </w:style>
  <w:style w:type="paragraph" w:styleId="Footer">
    <w:name w:val="footer"/>
    <w:pPr>
      <w:tabs>
        <w:tab w:val="center" w:pos="4153"/>
        <w:tab w:val="right" w:pos="8306"/>
      </w:tabs>
    </w:pPr>
    <w:rPr>
      <w:rFonts w:ascii="Arial" w:hAnsi="Arial" w:cs="Arial"/>
      <w:b/>
      <w:color w:val="747678"/>
      <w:sz w:val="13"/>
      <w:lang w:val="en-GB"/>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20"/>
      </w:numPr>
      <w:spacing w:after="20" w:line="260" w:lineRule="atLeast"/>
    </w:pPr>
  </w:style>
  <w:style w:type="paragraph" w:styleId="ListNumber2">
    <w:name w:val="List Number 2"/>
    <w:basedOn w:val="Normal"/>
    <w:qFormat/>
    <w:pPr>
      <w:numPr>
        <w:ilvl w:val="1"/>
        <w:numId w:val="18"/>
      </w:numPr>
      <w:spacing w:after="284" w:line="280" w:lineRule="atLeast"/>
    </w:pPr>
  </w:style>
  <w:style w:type="paragraph" w:styleId="ListNumber">
    <w:name w:val="List Number"/>
    <w:basedOn w:val="Normal"/>
    <w:qFormat/>
    <w:pPr>
      <w:numPr>
        <w:numId w:val="18"/>
      </w:numPr>
      <w:spacing w:after="284" w:line="280" w:lineRule="atLeast"/>
    </w:pPr>
  </w:style>
  <w:style w:type="paragraph" w:styleId="TOC2">
    <w:name w:val="toc 2"/>
    <w:next w:val="Normal"/>
    <w:semiHidden/>
    <w:pPr>
      <w:tabs>
        <w:tab w:val="right" w:pos="8505"/>
      </w:tabs>
      <w:spacing w:after="100"/>
      <w:ind w:left="198"/>
    </w:pPr>
    <w:rPr>
      <w:rFonts w:ascii="Arial" w:hAnsi="Arial" w:cs="Arial"/>
      <w:sz w:val="19"/>
      <w:szCs w:val="24"/>
      <w:lang w:val="en-GB"/>
    </w:rPr>
  </w:style>
  <w:style w:type="paragraph" w:styleId="TOC3">
    <w:name w:val="toc 3"/>
    <w:basedOn w:val="TOC2"/>
    <w:next w:val="Normal"/>
    <w:semiHidden/>
    <w:pPr>
      <w:ind w:left="403"/>
    </w:pPr>
  </w:style>
  <w:style w:type="paragraph" w:styleId="ListBullet">
    <w:name w:val="List Bullet"/>
    <w:basedOn w:val="Normal"/>
    <w:qFormat/>
    <w:pPr>
      <w:numPr>
        <w:numId w:val="20"/>
      </w:numPr>
      <w:spacing w:after="20" w:line="280" w:lineRule="atLeast"/>
    </w:pPr>
  </w:style>
  <w:style w:type="paragraph" w:customStyle="1" w:styleId="SectionTitle">
    <w:name w:val="Section Title"/>
    <w:next w:val="BodyText"/>
    <w:qFormat/>
    <w:pPr>
      <w:spacing w:after="2520"/>
    </w:pPr>
    <w:rPr>
      <w:rFonts w:ascii="Garamond" w:hAnsi="Garamond" w:cs="Arial"/>
      <w:sz w:val="48"/>
      <w:lang w:val="en-GB"/>
    </w:rPr>
  </w:style>
  <w:style w:type="paragraph" w:customStyle="1" w:styleId="TableText">
    <w:name w:val="Table Text"/>
    <w:qFormat/>
    <w:rPr>
      <w:rFonts w:ascii="Arial" w:hAnsi="Arial" w:cs="Arial"/>
      <w:sz w:val="16"/>
      <w:lang w:val="en-GB"/>
    </w:rPr>
  </w:style>
  <w:style w:type="paragraph" w:customStyle="1" w:styleId="TintBoxTextBlack">
    <w:name w:val="Tint Box Text Black"/>
    <w:pPr>
      <w:spacing w:after="280" w:line="280" w:lineRule="atLeast"/>
    </w:pPr>
    <w:rPr>
      <w:rFonts w:ascii="Arial" w:hAnsi="Arial" w:cs="Arial"/>
      <w:b/>
      <w:lang w:val="en-GB"/>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18"/>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en-GB"/>
    </w:rPr>
  </w:style>
  <w:style w:type="paragraph" w:customStyle="1" w:styleId="MarginNotes">
    <w:name w:val="Margin Notes"/>
    <w:qFormat/>
    <w:rPr>
      <w:rFonts w:ascii="Arial" w:hAnsi="Arial" w:cs="Arial"/>
      <w:sz w:val="16"/>
      <w:lang w:val="en-GB"/>
    </w:rPr>
  </w:style>
  <w:style w:type="paragraph" w:styleId="TOC1">
    <w:name w:val="toc 1"/>
    <w:next w:val="Normal"/>
    <w:semiHidden/>
    <w:pPr>
      <w:tabs>
        <w:tab w:val="right" w:pos="8505"/>
      </w:tabs>
      <w:spacing w:before="165" w:after="100"/>
    </w:pPr>
    <w:rPr>
      <w:rFonts w:ascii="Arial" w:hAnsi="Arial" w:cs="Arial"/>
      <w:sz w:val="19"/>
      <w:lang w:val="en-GB"/>
    </w:rPr>
  </w:style>
  <w:style w:type="paragraph" w:styleId="Subtitle">
    <w:name w:val="Subtitle"/>
    <w:qFormat/>
    <w:rsid w:val="00B3571B"/>
    <w:pPr>
      <w:spacing w:line="280" w:lineRule="atLeast"/>
      <w:outlineLvl w:val="1"/>
    </w:pPr>
    <w:rPr>
      <w:rFonts w:ascii="Arial" w:hAnsi="Arial" w:cs="Arial"/>
      <w:bCs/>
      <w:kern w:val="28"/>
      <w:sz w:val="24"/>
      <w:szCs w:val="24"/>
      <w:lang w:val="en-GB"/>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lang w:val="en-GB"/>
    </w:rPr>
  </w:style>
  <w:style w:type="paragraph" w:customStyle="1" w:styleId="Copyright">
    <w:name w:val="Copyright"/>
    <w:semiHidden/>
    <w:pPr>
      <w:spacing w:line="220" w:lineRule="atLeast"/>
    </w:pPr>
    <w:rPr>
      <w:rFonts w:ascii="Garamond" w:hAnsi="Garamond" w:cs="Arial"/>
      <w:lang w:val="en-GB"/>
    </w:rPr>
  </w:style>
  <w:style w:type="paragraph" w:customStyle="1" w:styleId="ReferenceText">
    <w:name w:val="Reference Text"/>
    <w:rPr>
      <w:rFonts w:ascii="Arial" w:hAnsi="Arial" w:cs="Arial"/>
      <w:kern w:val="32"/>
      <w:sz w:val="18"/>
      <w:szCs w:val="24"/>
      <w:lang w:val="en-GB"/>
    </w:rPr>
  </w:style>
  <w:style w:type="paragraph" w:customStyle="1" w:styleId="ReferenceTitle">
    <w:name w:val="Reference Title"/>
    <w:next w:val="ReferenceText"/>
    <w:rPr>
      <w:rFonts w:ascii="Arial Black" w:hAnsi="Arial Black" w:cs="Arial"/>
      <w:kern w:val="32"/>
      <w:sz w:val="18"/>
      <w:szCs w:val="24"/>
      <w:lang w:val="en-GB"/>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32"/>
      </w:numPr>
      <w:spacing w:after="284" w:line="280" w:lineRule="atLeast"/>
    </w:pPr>
  </w:style>
  <w:style w:type="paragraph" w:customStyle="1" w:styleId="ParagraphBullet2">
    <w:name w:val="Paragraph Bullet 2"/>
    <w:basedOn w:val="Normal"/>
    <w:qFormat/>
    <w:pPr>
      <w:numPr>
        <w:ilvl w:val="1"/>
        <w:numId w:val="32"/>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qFormat/>
    <w:rPr>
      <w:rFonts w:ascii="Arial" w:hAnsi="Arial" w:cs="Arial"/>
      <w:sz w:val="16"/>
      <w:lang w:val="en-GB"/>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34"/>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pPr>
      <w:numPr>
        <w:ilvl w:val="1"/>
        <w:numId w:val="34"/>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en-GB"/>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GB"/>
    </w:rPr>
  </w:style>
  <w:style w:type="paragraph" w:customStyle="1" w:styleId="Default">
    <w:name w:val="Default"/>
    <w:rsid w:val="001E1992"/>
    <w:pPr>
      <w:autoSpaceDE w:val="0"/>
      <w:autoSpaceDN w:val="0"/>
      <w:adjustRightInd w:val="0"/>
    </w:pPr>
    <w:rPr>
      <w:rFonts w:ascii="Book Antiqua" w:hAnsi="Book Antiqua" w:cs="Book Antiqua"/>
      <w:color w:val="000000"/>
      <w:sz w:val="24"/>
      <w:szCs w:val="24"/>
      <w:lang w:val="en-GB"/>
    </w:rPr>
  </w:style>
  <w:style w:type="paragraph" w:styleId="BalloonText">
    <w:name w:val="Balloon Text"/>
    <w:basedOn w:val="Normal"/>
    <w:link w:val="BalloonTextChar"/>
    <w:semiHidden/>
    <w:unhideWhenUsed/>
    <w:rsid w:val="00996BAC"/>
    <w:rPr>
      <w:rFonts w:ascii="Segoe UI" w:hAnsi="Segoe UI" w:cs="Segoe UI"/>
      <w:sz w:val="18"/>
      <w:szCs w:val="18"/>
    </w:rPr>
  </w:style>
  <w:style w:type="character" w:customStyle="1" w:styleId="BalloonTextChar">
    <w:name w:val="Balloon Text Char"/>
    <w:basedOn w:val="DefaultParagraphFont"/>
    <w:link w:val="BalloonText"/>
    <w:semiHidden/>
    <w:rsid w:val="00996BAC"/>
    <w:rPr>
      <w:rFonts w:ascii="Segoe UI" w:hAnsi="Segoe UI" w:cs="Segoe UI"/>
      <w:sz w:val="18"/>
      <w:szCs w:val="18"/>
      <w:lang w:val="en-GB"/>
    </w:rPr>
  </w:style>
  <w:style w:type="paragraph" w:styleId="NormalWeb">
    <w:name w:val="Normal (Web)"/>
    <w:basedOn w:val="Normal"/>
    <w:uiPriority w:val="99"/>
    <w:unhideWhenUsed/>
    <w:rsid w:val="00D56838"/>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E34B808A9F744B14B0183AD75E8A5" ma:contentTypeVersion="4" ma:contentTypeDescription="Create a new document." ma:contentTypeScope="" ma:versionID="634c40d8af5dabd733651fd28ff8ecf0">
  <xsd:schema xmlns:xsd="http://www.w3.org/2001/XMLSchema" xmlns:xs="http://www.w3.org/2001/XMLSchema" xmlns:p="http://schemas.microsoft.com/office/2006/metadata/properties" xmlns:ns2="88382e7f-286e-4135-a1dc-e4105e488d60" targetNamespace="http://schemas.microsoft.com/office/2006/metadata/properties" ma:root="true" ma:fieldsID="55d97c079c228074ea8304207e9e1429" ns2:_="">
    <xsd:import namespace="88382e7f-286e-4135-a1dc-e4105e488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82e7f-286e-4135-a1dc-e4105e488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3C37E-2A35-E149-8BB2-F29BD221FC80}">
  <ds:schemaRefs>
    <ds:schemaRef ds:uri="http://schemas.openxmlformats.org/officeDocument/2006/bibliography"/>
  </ds:schemaRefs>
</ds:datastoreItem>
</file>

<file path=customXml/itemProps2.xml><?xml version="1.0" encoding="utf-8"?>
<ds:datastoreItem xmlns:ds="http://schemas.openxmlformats.org/officeDocument/2006/customXml" ds:itemID="{7DEE3AA6-D320-4BB9-A082-657CB6751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FEE42-C194-4EDD-8AD4-09ED042B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82e7f-286e-4135-a1dc-e4105e48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87249-0623-405E-91E6-AB89C88DD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2020-08-26T14:09:00Z</dcterms:created>
  <dcterms:modified xsi:type="dcterms:W3CDTF">2020-08-26T14:09:00Z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0x010100646E34B808A9F744B14B0183AD75E8A5</vt:lpwstr>
  </property>
</Properties>
</file>